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附件3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75"/>
        <w:gridCol w:w="967"/>
        <w:gridCol w:w="1000"/>
        <w:gridCol w:w="217"/>
        <w:gridCol w:w="366"/>
        <w:gridCol w:w="338"/>
        <w:gridCol w:w="196"/>
        <w:gridCol w:w="650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改善办学保障条件-信息化-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考试院业务系统与政务便民服务对接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北京教育考试院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接铭远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82837277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125.82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125.82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125.82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125.82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125.26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99.6%</w:t>
            </w:r>
            <w:bookmarkStart w:id="0" w:name="_GoBack"/>
            <w:bookmarkEnd w:id="0"/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97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年度目标：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1.完成政务服务对接及接口开发（31项）；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2.完成经信委非税支付系统对接(4项)；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3.完成公众服务平台相关功能变更、新增开发工作（10项）。</w:t>
            </w:r>
          </w:p>
        </w:tc>
        <w:tc>
          <w:tcPr>
            <w:tcW w:w="347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1.完成了政务服务对接及接口开发（31项）；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2.完成了经信委非税支付系统对接(4项)；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3.完成了公众服务平台相关功能变更、新增开发工作（10项）。</w:t>
            </w:r>
          </w:p>
          <w:p>
            <w:pPr>
              <w:widowControl/>
              <w:tabs>
                <w:tab w:val="left" w:pos="1568"/>
              </w:tabs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考试院业务系统与政务便民服务对接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项目的实施顺应了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中高考改革趋势，满足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新形势下的北京市教育考试宣传工作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及财务工作的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要求，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解决了考试院此前缺乏移动端发布渠道的问题，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为考生及家长提供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更通畅的信息渠道。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完成政务服务对接及接口开发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31项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31项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完成经信委非税支付系统对接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4项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4项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完成公众服务平台相关功能变更、新增开发工作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10项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10项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系统验收合格率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系统稳定性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在业务服务期间，系统必须支持7×24小时不间断工作，应用软件更新、加载时，不影响业务运转和服务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在业务服务期间，系统7×24小时不间断工作，应用软件更新、加载时，未影响业务运转和服务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系统响应时间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简单操作的响应时间不超过2秒，需要复杂运算的操作，响应时间可视数据量级具体要求，一般应不超过15秒。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简单操作的响应时间未超过2秒，需要复杂运算的操作，响应时间未超过15秒。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系统负载能力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系统满足每年10万数量级的考生用户完成报名、查询等业务，支持约2万人的同时在线和3000以上的并发访问量。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系统满足每年10万数量级的考生用户完成报名、查询等业务，支持约2万人的同时在线和3000以上的并发访问量。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系统安全性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系统建设应达到等级保护二级建设标准，其中综合查询系统相关功能还应达到等级保护三级建设标准。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系统建设达到等级保护二级建设标准，其中综合查询系统相关功能还达到等级保护三级建设标准。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系统开放性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系统具备较好开放性，实现与北京市大数据平台和政务服务指尖计划的对接。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系统具备较好开放性，实现与北京市大数据平台和政务服务指尖计划的对接。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完成方案制定和前期准备工作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2021年8月底前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2021年4月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完成招标工作及签订合同。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2021年9月底前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2021年11月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设定指标不够科学需改进，未能考虑到财政资金批复大幅晚于预期的情况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完成政务服务对接及接口开发；经信委非税支付系统对接；公众服务平台相关功能变更、新增开发工作。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2021年9月底前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2021年12月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设定指标不够科学需改进，未能考虑到财政资金批复大幅晚于预期的情况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项目验收及用户满意度调查。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2021年12月底前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2021年12月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软件开发单价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不超过18000元/人月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18000元/人月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项目成本控制数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总成本不超过183.150万元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总成本125.26万元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社会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公共服务能力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配合全市政务服务移动端建设，全面提升掌上服务能力，进一步方便企业群众办事。完成与相关APP、小程序、终端机等的接口对接，拓宽政务服务渠道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配合全市政务服务移动端建设，全面提升掌上服务能力，进一步方便企业群众办事。完成与相关APP、小程序、终端机等的接口对接，拓宽政务服务渠道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服务考生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每年为中考、高考、会考、成考、自考等考试的考生，提供成绩、录取结果、招生计划查询等优质的在线服务，提升政务良好的服务形象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每年为中考、高考、会考、成考、自考等考试的考生，提供成绩、录取结果、招生计划查询等优质的在线服务，提升政务良好的服务形象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用户满意度</w:t>
            </w:r>
          </w:p>
        </w:tc>
        <w:tc>
          <w:tcPr>
            <w:tcW w:w="1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系统使用人员满意度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&gt;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97.96</w:t>
            </w:r>
          </w:p>
        </w:tc>
        <w:tc>
          <w:tcPr>
            <w:tcW w:w="13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YzUxOTc2MTAyNGNjZTU1YWUwNTU5OGI2YTZkODUifQ=="/>
  </w:docVars>
  <w:rsids>
    <w:rsidRoot w:val="00512C82"/>
    <w:rsid w:val="003435ED"/>
    <w:rsid w:val="0045622B"/>
    <w:rsid w:val="00512C82"/>
    <w:rsid w:val="008A3EEA"/>
    <w:rsid w:val="00B47A57"/>
    <w:rsid w:val="00CE49C2"/>
    <w:rsid w:val="00E017CD"/>
    <w:rsid w:val="00F561EB"/>
    <w:rsid w:val="09B1776F"/>
    <w:rsid w:val="10A52FCB"/>
    <w:rsid w:val="14813352"/>
    <w:rsid w:val="14CF1E25"/>
    <w:rsid w:val="1CAE1F04"/>
    <w:rsid w:val="1F780D8D"/>
    <w:rsid w:val="23900780"/>
    <w:rsid w:val="26B56923"/>
    <w:rsid w:val="2FEA2323"/>
    <w:rsid w:val="34AA0AAC"/>
    <w:rsid w:val="3B9B5D3F"/>
    <w:rsid w:val="3D3D5079"/>
    <w:rsid w:val="46406683"/>
    <w:rsid w:val="48061E29"/>
    <w:rsid w:val="4E3B554D"/>
    <w:rsid w:val="509B35AB"/>
    <w:rsid w:val="52744326"/>
    <w:rsid w:val="532F7935"/>
    <w:rsid w:val="55F15F7A"/>
    <w:rsid w:val="62E676C0"/>
    <w:rsid w:val="790012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sz w:val="18"/>
      <w:szCs w:val="18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1564</Words>
  <Characters>1717</Characters>
  <Lines>8</Lines>
  <Paragraphs>2</Paragraphs>
  <TotalTime>0</TotalTime>
  <ScaleCrop>false</ScaleCrop>
  <LinksUpToDate>false</LinksUpToDate>
  <CharactersWithSpaces>1773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天氣晴</cp:lastModifiedBy>
  <dcterms:modified xsi:type="dcterms:W3CDTF">2022-05-12T08:52:39Z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2A4695BF11324072972D7DB382AFA3A8</vt:lpwstr>
  </property>
  <property fmtid="{D5CDD505-2E9C-101B-9397-08002B2CF9AE}" pid="4" name="commondata">
    <vt:lpwstr>eyJoZGlkIjoiODM5ODlhZDhkNTk2MjUzYjUwZjJjNTkwZTJhM2I2ZDIifQ==</vt:lpwstr>
  </property>
</Properties>
</file>